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06" w:rsidRDefault="007C0B06">
      <w:pPr>
        <w:pStyle w:val="ConsPlusTitlePage"/>
      </w:pPr>
      <w:bookmarkStart w:id="0" w:name="_GoBack"/>
      <w:bookmarkEnd w:id="0"/>
    </w:p>
    <w:p w:rsidR="007C0B06" w:rsidRDefault="007C0B06">
      <w:pPr>
        <w:pStyle w:val="ConsPlusNormal"/>
        <w:ind w:firstLine="540"/>
        <w:jc w:val="both"/>
        <w:outlineLvl w:val="0"/>
      </w:pPr>
    </w:p>
    <w:p w:rsidR="007C0B06" w:rsidRDefault="004E01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0B06" w:rsidRDefault="007C0B06">
      <w:pPr>
        <w:pStyle w:val="ConsPlusTitle"/>
        <w:jc w:val="center"/>
      </w:pPr>
    </w:p>
    <w:p w:rsidR="007C0B06" w:rsidRDefault="004E0152">
      <w:pPr>
        <w:pStyle w:val="ConsPlusTitle"/>
        <w:jc w:val="center"/>
      </w:pPr>
      <w:r>
        <w:t>РАСПОРЯЖЕНИЕ</w:t>
      </w:r>
    </w:p>
    <w:p w:rsidR="007C0B06" w:rsidRDefault="004E0152">
      <w:pPr>
        <w:pStyle w:val="ConsPlusTitle"/>
        <w:jc w:val="center"/>
      </w:pPr>
      <w:r>
        <w:t>от 17 апреля 2019 г. N 768-р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tooltip="Текущий документ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2. Рекомендовать: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tooltip="Текущий документ" w:history="1">
        <w:r>
          <w:rPr>
            <w:color w:val="0000FF"/>
          </w:rPr>
          <w:t>стандарта</w:t>
        </w:r>
      </w:hyperlink>
      <w:r>
        <w:t>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субъектам естественных</w:t>
      </w:r>
      <w:r>
        <w:t xml:space="preserve"> монополий руководствоваться положениями </w:t>
      </w:r>
      <w:hyperlink w:anchor="P32" w:tooltip="Текущий документ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3. ФАС России по согласованию с заинтересованными федеральными органами исполнительной власти утвердить методи</w:t>
      </w:r>
      <w:r>
        <w:t xml:space="preserve">ки расчета ключевых показателей развития конкуренции, предусмотренных приложением к </w:t>
      </w:r>
      <w:hyperlink w:anchor="P32" w:tooltip="Текущий документ" w:history="1">
        <w:r>
          <w:rPr>
            <w:color w:val="0000FF"/>
          </w:rPr>
          <w:t>стандарту</w:t>
        </w:r>
      </w:hyperlink>
      <w:r>
        <w:t>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4. Минэкономразвития России: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tooltip="Текущий документ" w:history="1">
        <w:r>
          <w:rPr>
            <w:color w:val="0000FF"/>
          </w:rPr>
          <w:t>стандарта</w:t>
        </w:r>
      </w:hyperlink>
      <w:r>
        <w:t>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представлять </w:t>
      </w:r>
      <w:proofErr w:type="gramStart"/>
      <w:r>
        <w:t>при необходимости в Правительство Российской Федерации в установленном порядке предложения по внесению изменений в стандарт</w:t>
      </w:r>
      <w:proofErr w:type="gramEnd"/>
      <w:r>
        <w:t xml:space="preserve">, одобренные межведомственной рабочей группой по вопросам реализации положений </w:t>
      </w:r>
      <w:hyperlink w:anchor="P32" w:tooltip="Текущий документ" w:history="1">
        <w:r>
          <w:rPr>
            <w:color w:val="0000FF"/>
          </w:rPr>
          <w:t>стандарта</w:t>
        </w:r>
      </w:hyperlink>
      <w:r>
        <w:t>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tooltip="Текущий документ" w:history="1">
        <w:r>
          <w:rPr>
            <w:color w:val="0000FF"/>
          </w:rPr>
          <w:t>стандарта</w:t>
        </w:r>
      </w:hyperlink>
      <w:r>
        <w:t>, включающий оц</w:t>
      </w:r>
      <w:r>
        <w:t>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7C0B06" w:rsidRDefault="007C0B06">
      <w:pPr>
        <w:pStyle w:val="ConsPlusNormal"/>
        <w:spacing w:before="200"/>
        <w:ind w:firstLine="540"/>
        <w:jc w:val="both"/>
      </w:pPr>
      <w:hyperlink r:id="rId6" w:history="1">
        <w:r w:rsidR="004E0152">
          <w:rPr>
            <w:color w:val="0000FF"/>
          </w:rPr>
          <w:t>распоряжение</w:t>
        </w:r>
      </w:hyperlink>
      <w:r w:rsidR="004E0152"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7C0B06" w:rsidRDefault="007C0B06">
      <w:pPr>
        <w:pStyle w:val="ConsPlusNormal"/>
        <w:spacing w:before="200"/>
        <w:ind w:firstLine="540"/>
        <w:jc w:val="both"/>
      </w:pPr>
      <w:hyperlink r:id="rId7" w:history="1">
        <w:r w:rsidR="004E0152">
          <w:rPr>
            <w:color w:val="0000FF"/>
          </w:rPr>
          <w:t>распоряжение</w:t>
        </w:r>
      </w:hyperlink>
      <w:r w:rsidR="004E0152"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Normal"/>
        <w:jc w:val="right"/>
      </w:pPr>
      <w:r>
        <w:t>Председатель Правительства</w:t>
      </w:r>
    </w:p>
    <w:p w:rsidR="007C0B06" w:rsidRDefault="004E0152">
      <w:pPr>
        <w:pStyle w:val="ConsPlusNormal"/>
        <w:jc w:val="right"/>
      </w:pPr>
      <w:r>
        <w:t>Российской Федерац</w:t>
      </w:r>
      <w:r>
        <w:t>ии</w:t>
      </w:r>
    </w:p>
    <w:p w:rsidR="007C0B06" w:rsidRDefault="004E0152">
      <w:pPr>
        <w:pStyle w:val="ConsPlusNormal"/>
        <w:jc w:val="right"/>
      </w:pPr>
      <w:r>
        <w:t>Д.МЕДВЕДЕВ</w:t>
      </w: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Normal"/>
        <w:jc w:val="right"/>
        <w:outlineLvl w:val="0"/>
      </w:pPr>
      <w:r>
        <w:t>Утвержден</w:t>
      </w:r>
    </w:p>
    <w:p w:rsidR="007C0B06" w:rsidRDefault="004E0152">
      <w:pPr>
        <w:pStyle w:val="ConsPlusNormal"/>
        <w:jc w:val="right"/>
      </w:pPr>
      <w:r>
        <w:t>распоряжением Правительства</w:t>
      </w:r>
    </w:p>
    <w:p w:rsidR="007C0B06" w:rsidRDefault="004E0152">
      <w:pPr>
        <w:pStyle w:val="ConsPlusNormal"/>
        <w:jc w:val="right"/>
      </w:pPr>
      <w:r>
        <w:t>Российской Федерации</w:t>
      </w:r>
    </w:p>
    <w:p w:rsidR="007C0B06" w:rsidRDefault="004E0152">
      <w:pPr>
        <w:pStyle w:val="ConsPlusNormal"/>
        <w:jc w:val="right"/>
      </w:pPr>
      <w:r>
        <w:t>от 17 апреля 2019 г. N 768-р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</w:pPr>
      <w:bookmarkStart w:id="1" w:name="P32"/>
      <w:bookmarkEnd w:id="1"/>
      <w:r>
        <w:t>СТАНДАРТ</w:t>
      </w:r>
    </w:p>
    <w:p w:rsidR="007C0B06" w:rsidRDefault="004E015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I. Общие положения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</w:t>
      </w:r>
      <w:r>
        <w:lastRenderedPageBreak/>
        <w:t xml:space="preserve">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2. Целями станд</w:t>
      </w:r>
      <w:r>
        <w:t>арта являются: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</w:t>
      </w:r>
      <w:r>
        <w:t>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</w:t>
      </w:r>
      <w:r>
        <w:t>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в) выявление потенциала развития экономики Российской Федерации, </w:t>
      </w:r>
      <w:r>
        <w:t>включая научно-технологический и человеческий потенциал;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</w:t>
      </w:r>
      <w:r>
        <w:t>одействие устранению административных барьеров;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е) повышение доступности финансовых услуг для субъектов экономичес</w:t>
      </w:r>
      <w:r>
        <w:t>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содействие каждым субъектом Российской Федерации развитию конкуренции на товарных рынках, определяе</w:t>
      </w:r>
      <w:r>
        <w:t xml:space="preserve">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</w:t>
      </w:r>
      <w:r>
        <w:t>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3. Принципами внедрения стандарта являются: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а) ориентация на потребителя - высшее должностн</w:t>
      </w:r>
      <w:r>
        <w:t>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</w:t>
      </w:r>
      <w:r>
        <w:t>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за</w:t>
      </w:r>
      <w:r>
        <w:t xml:space="preserve">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системный подх</w:t>
      </w:r>
      <w:r>
        <w:t xml:space="preserve">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</w:t>
      </w:r>
      <w:r>
        <w:t>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г) постоянное совершенствование деятельности - повышение удовлетворенности </w:t>
      </w:r>
      <w:r>
        <w:lastRenderedPageBreak/>
        <w:t>потребител</w:t>
      </w:r>
      <w:r>
        <w:t>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</w:t>
      </w:r>
      <w:r>
        <w:t>тий по содействию развитию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</w:t>
      </w:r>
      <w:r>
        <w:t>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4. Органами исполнительной власти субъекта Российской Федерации и органами местног</w:t>
      </w:r>
      <w:r>
        <w:t>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</w:t>
      </w:r>
      <w:r>
        <w:t>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5</w:t>
      </w:r>
      <w:r>
        <w:t xml:space="preserve">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</w:t>
      </w:r>
      <w:r>
        <w:t xml:space="preserve">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</w:t>
      </w:r>
      <w:r>
        <w:t>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</w:t>
      </w:r>
      <w:r>
        <w:t>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</w:t>
      </w:r>
      <w:r>
        <w:t>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Для достижения целей стандарта и соблюдения принципов его внедрения, формирования</w:t>
      </w:r>
      <w:r>
        <w:t xml:space="preserve"> </w:t>
      </w:r>
      <w:hyperlink w:anchor="P323" w:tooltip="Текущий документ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</w:t>
      </w:r>
      <w:r>
        <w:t>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</w:t>
      </w:r>
      <w:r>
        <w:t>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Одним из основных средств достижения целей внедрения стандарта явля</w:t>
      </w:r>
      <w:r>
        <w:t>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На официальном сай</w:t>
      </w:r>
      <w:r>
        <w:t xml:space="preserve">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>
        <w:t>интернет-портале</w:t>
      </w:r>
      <w:proofErr w:type="spellEnd"/>
      <w:r>
        <w:t xml:space="preserve"> об инвест</w:t>
      </w:r>
      <w:r>
        <w:t>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Для повышения мотивац</w:t>
      </w:r>
      <w:r>
        <w:t>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</w:t>
      </w:r>
      <w:r>
        <w:t xml:space="preserve">аботы органов исполнительной власти субъекта Российской Федерации и </w:t>
      </w:r>
      <w:r>
        <w:lastRenderedPageBreak/>
        <w:t>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</w:t>
      </w:r>
      <w:r>
        <w:t>бъекта Российской Федерации и органов местного самоуправления.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10. Уполномоченный орган осуществляет следующ</w:t>
      </w:r>
      <w:r>
        <w:t>ие полномочия: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</w:t>
      </w:r>
      <w:r>
        <w:t>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б) подготавливает проект ежегодного доклада о состоя</w:t>
      </w:r>
      <w:r>
        <w:t>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</w:t>
      </w:r>
      <w:r>
        <w:t>тному лицу;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</w:t>
      </w:r>
      <w:r>
        <w:t>риятий, предусмотренных "дорожной картой" и соответствующими ведомственными приоритетными проектами;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</w:t>
      </w:r>
      <w:r>
        <w:t>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</w:t>
      </w:r>
      <w:r>
        <w:t>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</w:t>
      </w:r>
      <w:r>
        <w:t>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и) организует проведение мониторинга состояния и развития конкуренции на товарны</w:t>
      </w:r>
      <w:r>
        <w:t>х рынках субъекта Российской Федерации (далее - мониторинг);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11. В рамках реализации ме</w:t>
      </w:r>
      <w:r>
        <w:t>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</w:t>
      </w:r>
      <w:r>
        <w:t>на: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осуществляют реал</w:t>
      </w:r>
      <w:r>
        <w:t>изацию мероприятий "дорожной карты", а также иных мероприятий по содействию развитию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lastRenderedPageBreak/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</w:t>
      </w:r>
      <w:r>
        <w:t>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проводят анализ результативности мероприятий "дорожной карты", а также иных мероприятий по содействию развитию конку</w:t>
      </w:r>
      <w:r>
        <w:t>ренции, формируют разделы проекта доклада.</w:t>
      </w: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7C0B06" w:rsidRDefault="004E0152">
      <w:pPr>
        <w:pStyle w:val="ConsPlusTitle"/>
        <w:jc w:val="center"/>
      </w:pPr>
      <w:r>
        <w:t>на заседаниях коллегиального органа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</w:t>
      </w:r>
      <w:r>
        <w:t>ии: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проект "дорожной карты", включая информа</w:t>
      </w:r>
      <w:r>
        <w:t>цию о разработке и выполнении мероприятий, предусмотренных "дорожной картой";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</w:t>
      </w:r>
      <w:r>
        <w:t>и контрольно-надзорной деятельности в субъекте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результаты и анализ результатов мониторинга.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</w:t>
      </w:r>
      <w:r>
        <w:t>нов коллегиального органа для включения их в доклад.</w:t>
      </w:r>
    </w:p>
    <w:p w:rsidR="007C0B06" w:rsidRDefault="004E0152">
      <w:pPr>
        <w:pStyle w:val="ConsPlusNormal"/>
        <w:spacing w:before="200"/>
        <w:ind w:firstLine="540"/>
        <w:jc w:val="both"/>
      </w:pPr>
      <w:bookmarkStart w:id="2" w:name="P92"/>
      <w:bookmarkEnd w:id="2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руководители или заместители руководителей уполномоченного органа, а та</w:t>
      </w:r>
      <w:r>
        <w:t>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б) представители совета муниципальных образований, иных объединений муниципальных образований и (или) </w:t>
      </w:r>
      <w:r>
        <w:t>органов местного самоуправления;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</w:t>
      </w:r>
      <w:r>
        <w:t>чии);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</w:t>
      </w:r>
      <w:r>
        <w:t>новых аудиторов;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lastRenderedPageBreak/>
        <w:t>з</w:t>
      </w:r>
      <w:proofErr w:type="spellEnd"/>
      <w:r>
        <w:t>) представители объединений, действующих в инте</w:t>
      </w:r>
      <w:r>
        <w:t xml:space="preserve">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и) представители профессиональных союзов и обществ, в том числе организаций, д</w:t>
      </w:r>
      <w:r>
        <w:t>ействующих в интересах кадрового обеспечения высокотехнологичных отраслей промышленности;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л) эксперты и специалисты иных направлений </w:t>
      </w:r>
      <w:r>
        <w:t xml:space="preserve">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</w:t>
      </w:r>
      <w:r>
        <w:t>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м) представители общественных палат</w:t>
      </w:r>
      <w:r>
        <w:t xml:space="preserve"> субъектов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tooltip="Текущий документ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16. В сост</w:t>
      </w:r>
      <w:r>
        <w:t>ав коллегиального органа, а также отдельных специализированных рабочих групп по направлениям целесообразно включение: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б) уполномоченного по защите прав предпринимателей в </w:t>
      </w:r>
      <w:r>
        <w:t>субъекте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17. Заседания коллегиального органа в очном формате целесообразно пр</w:t>
      </w:r>
      <w:r>
        <w:t>оводить не реже одного раза в квартал.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</w:t>
      </w:r>
      <w:r>
        <w:t>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19. Материалы заседаний коллегиального о</w:t>
      </w:r>
      <w:r>
        <w:t>ргана являются открытыми и размещаются на официальном сайте уполномоченного органа в сети "Интернет".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</w:t>
      </w:r>
      <w:r>
        <w:t>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tooltip="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Числовые значения ключевых показателей и мероприятия по развитию конкуренции на товарных р</w:t>
      </w:r>
      <w:r>
        <w:t xml:space="preserve">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</w:t>
      </w:r>
      <w:r>
        <w:lastRenderedPageBreak/>
        <w:t>реализации</w:t>
      </w:r>
      <w:r>
        <w:t xml:space="preserve">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</w:t>
      </w:r>
      <w:r>
        <w:t>азвития.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</w:t>
      </w:r>
      <w:r>
        <w:t>е следующих данных: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</w:t>
      </w:r>
      <w:r>
        <w:t>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</w:t>
      </w:r>
      <w:r>
        <w:t>нной власти субъектов Российской Федерации и органами местного самоуправления;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</w:t>
      </w:r>
      <w:r>
        <w:t xml:space="preserve"> наличии);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е) результаты аналитических исследований и опросов субъектов предпринимательской деятельности, экспертов, потребителей товаров, работ, услуг, </w:t>
      </w:r>
      <w:proofErr w:type="spellStart"/>
      <w:r>
        <w:t>саморегулируемых</w:t>
      </w:r>
      <w:proofErr w:type="spellEnd"/>
      <w:r>
        <w:t xml:space="preserve"> организаций, профессиональных союзов и советов потребителей, а также общественных орга</w:t>
      </w:r>
      <w:r>
        <w:t>низаций, представляющих интересы потребителей, включая результаты мониторинга;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</w:t>
      </w:r>
      <w:r>
        <w:t>зяйствующих субъектов об их деятельности.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</w:t>
      </w:r>
      <w:r>
        <w:t>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25. Проект перечня товарных рынков рассматривается на заседании коллегиальн</w:t>
      </w:r>
      <w:r>
        <w:t>ого органа, одобряется им и выносится на утверждение высшего должностного лица.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V. Разработка "дорожной карты"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27. "Дорожная карта" разрабатывается на основе анализа результатов мо</w:t>
      </w:r>
      <w:r>
        <w:t xml:space="preserve">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</w:t>
      </w:r>
      <w:r>
        <w:t>ерации и иных источников информации.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lastRenderedPageBreak/>
        <w:t>Пр</w:t>
      </w:r>
      <w:r>
        <w:t>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28. При разработке</w:t>
      </w:r>
      <w:r>
        <w:t xml:space="preserve"> и реализации "дорожной карты", а также при внесении в нее изменений осуществляются: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определение последовательности и взаимодействия этих процессов, а также их прио</w:t>
      </w:r>
      <w:r>
        <w:t>ритетность;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г) обеспечение ресурсов и информации, необходимых для поддержания этих процессов и </w:t>
      </w:r>
      <w:r>
        <w:t>их мониторинга;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29. Органы местного са</w:t>
      </w:r>
      <w:r>
        <w:t>моуправления при наличии соглашения могут быть соисполнителями мероприятий "дорожной карты".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</w:t>
      </w:r>
      <w:r>
        <w:t>ны быть направлены на развитие конкуренции в субъекте Российской Федерации, в том числе: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устранение случаев (снижение количества) осуществления</w:t>
      </w:r>
      <w:r>
        <w:t xml:space="preserve"> закупки у единственного поставщика;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расширение участия субъ</w:t>
      </w:r>
      <w:r>
        <w:t>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на включение в программы по повышению качества управления закупочной</w:t>
      </w:r>
      <w:r>
        <w:t xml:space="preserve">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увеличение количества участников закупок из числа субъектов</w:t>
      </w:r>
      <w:r>
        <w:t xml:space="preserve"> малого и среднего предпринимательства;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экономия </w:t>
      </w:r>
      <w:r>
        <w:t>средств заказчика за счет участия в закупках субъектов малого и среднего предпринимательства;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lastRenderedPageBreak/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проведение анализа практики </w:t>
      </w:r>
      <w:r>
        <w:t xml:space="preserve">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</w:t>
      </w:r>
      <w:r>
        <w:t>дерального закона "О защите конкуренции";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</w:t>
      </w:r>
      <w:r>
        <w:t>ения предпринимательской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</w:t>
      </w:r>
      <w:r>
        <w:t xml:space="preserve"> предоставления, снижения стоимости предоставления таких услуг, а также перевода их предоставления в электронную форму;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</w:t>
      </w:r>
      <w:r>
        <w:t>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</w:t>
      </w:r>
      <w:r>
        <w:t>ренции, а также соответствующего аналитического инструментария (инструкций, форм, стандартов и др.);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</w:t>
      </w:r>
      <w:r>
        <w:t>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</w:t>
      </w:r>
      <w:r>
        <w:t>цию, включая: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разработку, утверждение и выполнение комплексного плана по эффективн</w:t>
      </w:r>
      <w:r>
        <w:t xml:space="preserve">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</w:t>
      </w:r>
      <w:r>
        <w:t xml:space="preserve">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</w:t>
      </w:r>
      <w:r>
        <w:t>ия рыночных отношений;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</w:t>
      </w:r>
      <w:r>
        <w:t>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создание условий, в соответствии с которыми указанные хозяйствующие субъекты при д</w:t>
      </w:r>
      <w:r>
        <w:t>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е) на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</w:t>
      </w:r>
      <w:r>
        <w:t>йствующих субъектов на товарные рынки;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на содействие развитию практики применения механизмов государственно-частного</w:t>
      </w:r>
      <w:r>
        <w:t xml:space="preserve"> и </w:t>
      </w:r>
      <w:proofErr w:type="spellStart"/>
      <w:r>
        <w:lastRenderedPageBreak/>
        <w:t>муниципально-частного</w:t>
      </w:r>
      <w:proofErr w:type="spellEnd"/>
      <w:r>
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</w:t>
      </w:r>
      <w:r>
        <w:t>диотелефонной связи в сельской местности, малонаселенных и труднодоступных районах);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</w:t>
      </w:r>
      <w:r>
        <w:t>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</w:t>
      </w:r>
      <w:r>
        <w:t>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</w:t>
      </w:r>
      <w:r>
        <w:t>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к) на стимулирование новых предпринимательских инициатив за сч</w:t>
      </w:r>
      <w:r>
        <w:t>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</w:t>
      </w:r>
      <w:r>
        <w:t>нимательства и достижения показателей ее эффективности;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</w:t>
      </w:r>
      <w:r>
        <w:t xml:space="preserve">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м) на повышение </w:t>
      </w:r>
      <w:r>
        <w:t>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н</w:t>
      </w:r>
      <w:proofErr w:type="spellEnd"/>
      <w:r>
        <w:t>) на выявление одаренных детей и молодежи, развитие их талантов и способност</w:t>
      </w:r>
      <w:r>
        <w:t>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о) на обеспечение равных условий доступа к информации</w:t>
      </w:r>
      <w:r>
        <w:t xml:space="preserve">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</w:t>
      </w:r>
      <w:r>
        <w:t>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</w:t>
      </w:r>
      <w:r>
        <w:t>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 на официальном сайте уполномоченного органа в сети "Интернет";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п</w:t>
      </w:r>
      <w:proofErr w:type="spellEnd"/>
      <w:r>
        <w:t>) на мобильность трудовых ресурсов, способствующую повыше</w:t>
      </w:r>
      <w:r>
        <w:t>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</w:t>
      </w:r>
      <w:r>
        <w:t>з-за рубежа (приоритетом являются научно-технологические кадры);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р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с) на развитие механизмов практико-ориен</w:t>
      </w:r>
      <w:r>
        <w:t xml:space="preserve">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</w:t>
      </w:r>
      <w:r>
        <w:t xml:space="preserve">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</w:t>
      </w:r>
      <w:r>
        <w:lastRenderedPageBreak/>
        <w:t xml:space="preserve">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у) на содействие созданию и развитию институтов поддержки субъектов малого </w:t>
      </w:r>
      <w:r>
        <w:t>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proofErr w:type="gramStart"/>
      <w:r>
        <w:t>ф</w:t>
      </w:r>
      <w:proofErr w:type="spellEnd"/>
      <w:r>
        <w:t>) на повышение уровн</w:t>
      </w:r>
      <w:r>
        <w:t xml:space="preserve">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</w:t>
      </w:r>
      <w:r>
        <w:t>ием Правительства Российской Федерации от 25 сентября 2017 г. N 2039-р;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х</w:t>
      </w:r>
      <w:proofErr w:type="spellEnd"/>
      <w:r>
        <w:t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</w:t>
      </w:r>
      <w:r>
        <w:t>существляющих свою деятельность на территории субъекта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ц</w:t>
      </w:r>
      <w:proofErr w:type="spellEnd"/>
      <w:r>
        <w:t>) на повышение доступности финансовых услуг для субъектов экономической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ч) на реализацию мер, направленных на выравнивание условий конкуренции как в рамках товарных</w:t>
      </w:r>
      <w:r>
        <w:t xml:space="preserve">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ш</w:t>
      </w:r>
      <w:proofErr w:type="spellEnd"/>
      <w:r>
        <w:t>) на обучение государственных гражданских служащих органов исполнительной власти субъекта Российской Фе</w:t>
      </w:r>
      <w:r>
        <w:t>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щ</w:t>
      </w:r>
      <w:proofErr w:type="spellEnd"/>
      <w:r>
        <w:t>) на разработку и утверждение типового административного регламента</w:t>
      </w:r>
      <w:r>
        <w:t xml:space="preserve">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</w:t>
      </w:r>
      <w:r>
        <w:t>озведении (создании) антенно-мачтовых сооружений (объектов) для услуг связи;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ы</w:t>
      </w:r>
      <w:proofErr w:type="spellEnd"/>
      <w: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</w:t>
      </w:r>
      <w:r>
        <w:t>зможностью прикрепления файлов фото- и видеосъемки);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</w:t>
      </w:r>
      <w:r>
        <w:t>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</w:t>
      </w:r>
      <w:r>
        <w:t xml:space="preserve">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31. "Дорожная карта" должна содержать следующую информацию: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исходная фактическая инфо</w:t>
      </w:r>
      <w:r>
        <w:t>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сведения о мероприятиях (с указанием срока их разработки и ре</w:t>
      </w:r>
      <w:r>
        <w:t>ализации), обеспечивающих достижение установленных результатов (целей);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lastRenderedPageBreak/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</w:t>
      </w:r>
      <w:r>
        <w:t xml:space="preserve"> мероприятий, обеспечивающих достижение установленных результатов (целей).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</w:t>
      </w:r>
      <w:r>
        <w:t xml:space="preserve">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33. Предусматривается включ</w:t>
      </w:r>
      <w:r>
        <w:t xml:space="preserve">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</w:t>
      </w:r>
      <w:r>
        <w:t>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</w:t>
      </w:r>
      <w:r>
        <w:t>иложении к ней.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</w:t>
      </w:r>
      <w:r>
        <w:t>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</w:t>
      </w:r>
      <w:r>
        <w:t>ние высшего должностного лица коллегиальным органом.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VI. Проведение мониторинга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</w:t>
      </w:r>
      <w:r>
        <w:t>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</w:t>
      </w:r>
      <w:r>
        <w:t>ктах Российской Федерации</w:t>
      </w:r>
      <w:proofErr w:type="gramEnd"/>
      <w:r>
        <w:t>.</w:t>
      </w:r>
    </w:p>
    <w:p w:rsidR="007C0B06" w:rsidRDefault="004E0152">
      <w:pPr>
        <w:pStyle w:val="ConsPlusNormal"/>
        <w:spacing w:before="200"/>
        <w:ind w:firstLine="540"/>
        <w:jc w:val="both"/>
      </w:pPr>
      <w:bookmarkStart w:id="3" w:name="P204"/>
      <w:bookmarkEnd w:id="3"/>
      <w:r>
        <w:t>39. Мониторинг включает в себя: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выделение групп субъектов предприниматель</w:t>
      </w:r>
      <w:r>
        <w:t>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</w:t>
      </w:r>
      <w:r>
        <w:t xml:space="preserve"> деятельность);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сбор данных о наличии и уровне административных барьеров в</w:t>
      </w:r>
      <w:r>
        <w:t xml:space="preserve">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</w:t>
      </w:r>
      <w:r>
        <w:t>екта Российской Федерации и сегментов бизнеса;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сбор данных о возможностях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</w:t>
      </w:r>
      <w:r>
        <w:t xml:space="preserve">сти появления новых хозяйствующих субъектов и </w:t>
      </w:r>
      <w:r>
        <w:lastRenderedPageBreak/>
        <w:t>начала осуществления ими предпринимательской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</w:t>
      </w:r>
      <w:r>
        <w:t xml:space="preserve"> и не позже 3 лет до начала сбора указанных данных;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</w:t>
      </w:r>
      <w:r>
        <w:t>ской Федерации посредством ценообразования;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</w:t>
      </w:r>
      <w:r>
        <w:t>ны по указанной проблематике и динамике их поступления в сравнении с предыдущим отчетным периодом;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</w:t>
      </w:r>
      <w:r>
        <w:t>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в) мониторинг удовлетворенности субъектов предпринимательской деятельности и потреб</w:t>
      </w:r>
      <w:r>
        <w:t>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</w:t>
      </w:r>
      <w:r>
        <w:t>мещаемой уполномоченным органом и муниципальными образованиями;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формирование перечня товарных рынков, на которых присутствуют субъек</w:t>
      </w:r>
      <w:r>
        <w:t>ты естественных монополий;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</w:t>
      </w:r>
      <w:r>
        <w:t>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сбор и анализ данных об уровнях тарифов (цен), установленных уполномоч</w:t>
      </w:r>
      <w:r>
        <w:t>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</w:t>
      </w:r>
      <w:r>
        <w:t>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об оценках эффективности реализации инвестиционно</w:t>
      </w:r>
      <w:r>
        <w:t xml:space="preserve">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</w:t>
      </w:r>
      <w:r>
        <w:t>енных монополий;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сбор и анализ данных об оказываемых </w:t>
      </w:r>
      <w:proofErr w:type="spellStart"/>
      <w:r>
        <w:t>ресурсоснабжающими</w:t>
      </w:r>
      <w:proofErr w:type="spellEnd"/>
      <w: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</w:t>
      </w:r>
      <w:r>
        <w:t>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мониторинг деятельности хозяйствующих субъектов, доля участия субъекта Российской </w:t>
      </w:r>
      <w:r>
        <w:lastRenderedPageBreak/>
        <w:t>Федерации или муниципального образования в которых составляе</w:t>
      </w:r>
      <w:r>
        <w:t>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</w:t>
      </w:r>
      <w:r>
        <w:t>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</w:t>
      </w:r>
      <w:r>
        <w:t>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</w:t>
      </w:r>
      <w:r>
        <w:t>оссийской Федерации и бюджетов муниципальных образований);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об уровне удовлетворенно</w:t>
      </w:r>
      <w:r>
        <w:t>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</w:t>
      </w:r>
      <w:r>
        <w:t xml:space="preserve"> страхования), в том числе их качеством, доступностью, стоимостью и др.;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</w:t>
      </w:r>
      <w:r>
        <w:t>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</w:t>
      </w:r>
      <w:r>
        <w:t>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использование </w:t>
      </w:r>
      <w:r>
        <w:t>официальной статистики Центрального банка Российской Федерации в отношении деятельности финансовых организаций;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</w:t>
      </w:r>
      <w:r>
        <w:t>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анализ собранных данных в целом по населению и по выделенным группам населения в соответствии с их основным занятием (работающ</w:t>
      </w:r>
      <w:r>
        <w:t xml:space="preserve">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</w:t>
      </w:r>
      <w:r>
        <w:t>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</w:t>
      </w:r>
      <w:r>
        <w:t>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</w:t>
      </w:r>
      <w:r>
        <w:t>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</w:t>
      </w:r>
      <w:r>
        <w:t>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</w:t>
      </w:r>
      <w:r>
        <w:t xml:space="preserve">р, изменение стоимости топлива, электрической энергии, основного сырья в пищевом </w:t>
      </w:r>
      <w:r>
        <w:lastRenderedPageBreak/>
        <w:t>производстве, аренды</w:t>
      </w:r>
      <w:proofErr w:type="gramEnd"/>
      <w:r>
        <w:t xml:space="preserve"> и т.п.);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и) мониторинг </w:t>
      </w:r>
      <w:proofErr w:type="spellStart"/>
      <w:r>
        <w:t>логистических</w:t>
      </w:r>
      <w:proofErr w:type="spellEnd"/>
      <w:r>
        <w:t xml:space="preserve"> возможностей субъекта Российской Федерации с учетом </w:t>
      </w:r>
      <w:proofErr w:type="spellStart"/>
      <w:r>
        <w:t>логистических</w:t>
      </w:r>
      <w:proofErr w:type="spellEnd"/>
      <w:r>
        <w:t xml:space="preserve"> возможностей субъектов Российской Федерации, имеющи</w:t>
      </w:r>
      <w:r>
        <w:t xml:space="preserve">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</w:t>
      </w:r>
      <w:r>
        <w:t>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к) мониторинг развития передовых производственных техн</w:t>
      </w:r>
      <w:r>
        <w:t xml:space="preserve">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</w:t>
      </w:r>
      <w:r>
        <w:t>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</w:t>
      </w:r>
      <w:r>
        <w:t>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б)</w:t>
      </w:r>
      <w:r>
        <w:t xml:space="preserve">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</w:t>
      </w:r>
      <w:r>
        <w:t>изации, представляющие интересы субъектов предпринимательской деятельности и потребителей товаров, работ, услуг;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</w:t>
      </w:r>
      <w:r>
        <w:t>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</w:t>
      </w:r>
      <w:r>
        <w:t>орыми для получения указанной информации предполагается заключение соответствующих соглашений;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</w:t>
      </w:r>
      <w:r>
        <w:t>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</w:t>
      </w:r>
      <w:r>
        <w:t>е, опубликованные в средствах массовой информации;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</w:t>
      </w:r>
      <w:r>
        <w:t>образованиями;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</w:t>
      </w:r>
      <w:r>
        <w:t>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</w:t>
      </w:r>
      <w:r>
        <w:t>, а также о доле их решений, вступивших в законную силу, с разбивкой по направлениям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</w:t>
      </w:r>
      <w:r>
        <w:t>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7C0B06" w:rsidRDefault="004E0152">
      <w:pPr>
        <w:pStyle w:val="ConsPlusNormal"/>
        <w:spacing w:before="200"/>
        <w:ind w:firstLine="540"/>
        <w:jc w:val="both"/>
      </w:pPr>
      <w:bookmarkStart w:id="4" w:name="P246"/>
      <w:bookmarkEnd w:id="4"/>
      <w:r>
        <w:lastRenderedPageBreak/>
        <w:t>41. Уполномоченный орган вправе направить в территориальное учреждение Централь</w:t>
      </w:r>
      <w:r>
        <w:t>ного банка Российской Федерации запрос о представлении следующей информации: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данные по ожидаемому потребителями темпу роста цен;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б) перечни товарных рынков, на которых наблюдается значительное отклонение темпов роста цен в субъекте Российской Федерации </w:t>
      </w:r>
      <w:r>
        <w:t xml:space="preserve">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>
        <w:t>среднероссийским</w:t>
      </w:r>
      <w:proofErr w:type="spellEnd"/>
      <w:r>
        <w:t xml:space="preserve"> уровнем;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</w:t>
      </w:r>
      <w:r>
        <w:t>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</w:t>
      </w:r>
      <w:r>
        <w:t>х барьеров для доступа к финансовым услугам;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</w:t>
      </w:r>
      <w:r>
        <w:t>услугами;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42. Территориальное учреждение Центрального банка Российско</w:t>
      </w:r>
      <w:r>
        <w:t xml:space="preserve">й Федерации вправе представить в уполномоченный орган указанную в </w:t>
      </w:r>
      <w:hyperlink w:anchor="P246" w:tooltip="Текущий документ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43. Министерство экономического развития Российской Федерации по со</w:t>
      </w:r>
      <w:r>
        <w:t>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tooltip="Текущий документ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tooltip="Текущий документ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в) удовлетв</w:t>
      </w:r>
      <w:r>
        <w:t>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иные критерии.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На основе мониторинга наличия административных </w:t>
      </w:r>
      <w:r>
        <w:t>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</w:t>
      </w:r>
      <w:r>
        <w:t>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</w:t>
      </w:r>
      <w:r>
        <w:t xml:space="preserve">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</w:t>
      </w:r>
      <w:r>
        <w:t>ития конкуренции на предстоящий период.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lastRenderedPageBreak/>
        <w:t xml:space="preserve">а) характеристику состояния конкуренции на товарных рынках, включенных в </w:t>
      </w:r>
      <w:hyperlink w:anchor="P323" w:tooltip="Текущий документ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</w:t>
      </w:r>
      <w:r>
        <w:t xml:space="preserve"> потребителей качеством товаров, работ, услуг на товарных рынках субъекта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</w:t>
      </w:r>
      <w:r>
        <w:t xml:space="preserve"> в субъекте Российской Федерации;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</w:t>
      </w:r>
      <w:r>
        <w:t>и мероприятий, предусмотренных "дорожной картой";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</w:t>
      </w:r>
      <w:r>
        <w:t>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</w:t>
      </w:r>
      <w:r>
        <w:t>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</w:t>
      </w:r>
      <w:r>
        <w:t>ав потребителей и благополучия человека;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</w:t>
      </w:r>
      <w:r>
        <w:t>ого приоритетного проекта целям стандарта и задачам по его внедрению в субъекте Российской Федерации с указанием: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доли достигнутых показателей в общем количестве показателей;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доли</w:t>
      </w:r>
      <w:r>
        <w:t xml:space="preserve">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доли достигнутых показателей, закрепленных за органом исполнительной власти субъекта Российской Федерации в </w:t>
      </w:r>
      <w:r>
        <w:t>установленной сфере ведения, в общем количестве показателей, по которым приняты корректирующие решения;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доли выполненных мероприятий в общем количестве мероприятий;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</w:t>
      </w:r>
      <w:r>
        <w:t>щие решения;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</w:t>
      </w:r>
      <w:r>
        <w:t xml:space="preserve"> уполномоченного органа в сети "Интернет".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</w:t>
      </w:r>
      <w:r>
        <w:t>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</w:t>
      </w:r>
      <w:r>
        <w:t xml:space="preserve">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</w:t>
      </w:r>
      <w:r>
        <w:t xml:space="preserve">Российской Федерации предложений о внесении в </w:t>
      </w:r>
      <w:r>
        <w:lastRenderedPageBreak/>
        <w:t>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50. На основе предложений об улучшении </w:t>
      </w:r>
      <w:r>
        <w:t>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7C0B06" w:rsidRDefault="004E015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</w:t>
      </w:r>
      <w:r>
        <w:t>онополий</w:t>
      </w: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</w:t>
      </w:r>
      <w:r>
        <w:t>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</w:t>
      </w:r>
      <w:r>
        <w:t>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В рамках указанных механизмов обеспечивается учет мнения потребителей товаров, работ, услуг</w:t>
      </w:r>
      <w:r>
        <w:t xml:space="preserve">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</w:t>
      </w:r>
      <w:r>
        <w:t>твенных монополий.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</w:t>
      </w:r>
      <w:r>
        <w:t>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 xml:space="preserve"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</w:t>
      </w:r>
      <w:r>
        <w:t>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</w:t>
      </w:r>
      <w:r>
        <w:t>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</w:t>
      </w:r>
      <w:r>
        <w:t>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52. Органы исполн</w:t>
      </w:r>
      <w:r>
        <w:t xml:space="preserve">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</w:t>
      </w:r>
      <w:r>
        <w:t xml:space="preserve">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7C0B06" w:rsidRDefault="004E0152">
      <w:pPr>
        <w:pStyle w:val="ConsPlusNormal"/>
        <w:spacing w:before="200"/>
        <w:ind w:firstLine="540"/>
        <w:jc w:val="both"/>
      </w:pPr>
      <w:bookmarkStart w:id="5" w:name="P289"/>
      <w:bookmarkEnd w:id="5"/>
      <w:r>
        <w:t>53</w:t>
      </w:r>
      <w:r>
        <w:t>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</w:t>
      </w:r>
      <w:r>
        <w:t xml:space="preserve"> Федерации, в том числе: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lastRenderedPageBreak/>
        <w:t>б) информацию о результатах технолог</w:t>
      </w:r>
      <w:r>
        <w:t>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</w:t>
      </w:r>
      <w:r>
        <w:t>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</w:t>
      </w:r>
      <w:r>
        <w:t xml:space="preserve">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в) и</w:t>
      </w:r>
      <w:r>
        <w:t>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</w:t>
      </w:r>
      <w:r>
        <w:t>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tooltip="Текущий документ" w:history="1">
        <w:r>
          <w:rPr>
            <w:color w:val="0000FF"/>
          </w:rPr>
          <w:t>пункте 53</w:t>
        </w:r>
      </w:hyperlink>
      <w:r>
        <w:t xml:space="preserve"> стандарта, о</w:t>
      </w:r>
      <w:r>
        <w:t xml:space="preserve">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>
        <w:t>интернет-портале</w:t>
      </w:r>
      <w:proofErr w:type="spellEnd"/>
      <w:r>
        <w:t>, в том числе с помощью ссылок на указанную информацию, размещенную на официальных сайтах субъектов естественны</w:t>
      </w:r>
      <w:r>
        <w:t>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55. При взаим</w:t>
      </w:r>
      <w:r>
        <w:t>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</w:t>
      </w:r>
      <w:r>
        <w:t>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</w:t>
      </w:r>
      <w:r>
        <w:t>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</w:t>
      </w:r>
      <w:r>
        <w:t>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</w:t>
      </w:r>
      <w:r>
        <w:t>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в) и</w:t>
      </w:r>
      <w:r>
        <w:t>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</w:t>
      </w:r>
      <w:r>
        <w:t>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</w:t>
      </w:r>
      <w:r>
        <w:t>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</w:t>
      </w:r>
      <w:r>
        <w:t xml:space="preserve">доотведения, оказываемых в электронном виде субъектами естественных монополий и </w:t>
      </w:r>
      <w:proofErr w:type="spellStart"/>
      <w:r>
        <w:t>ресурсоснабжающими</w:t>
      </w:r>
      <w:proofErr w:type="spellEnd"/>
      <w:r>
        <w:t xml:space="preserve"> организациями физическим и юридическим лицам.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</w:t>
      </w:r>
      <w:r>
        <w:t xml:space="preserve">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</w:t>
      </w:r>
      <w:r>
        <w:lastRenderedPageBreak/>
        <w:t xml:space="preserve">также с иными документами стратегического </w:t>
      </w:r>
      <w:r>
        <w:t>планирования Российской Федерации.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7C0B06" w:rsidRDefault="004E0152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7C0B06" w:rsidRDefault="004E0152">
      <w:pPr>
        <w:pStyle w:val="ConsPlusTitle"/>
        <w:jc w:val="center"/>
      </w:pPr>
      <w:r>
        <w:t>работ, услуг о состоянии конкуренции и деятельности</w:t>
      </w:r>
    </w:p>
    <w:p w:rsidR="007C0B06" w:rsidRDefault="004E0152">
      <w:pPr>
        <w:pStyle w:val="ConsPlusTitle"/>
        <w:jc w:val="center"/>
      </w:pPr>
      <w:r>
        <w:t>по содействию развитию конкуренции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Normal"/>
        <w:ind w:firstLine="540"/>
        <w:jc w:val="both"/>
      </w:pPr>
      <w:r>
        <w:t>57. На официальном сайте</w:t>
      </w:r>
      <w:r>
        <w:t xml:space="preserve">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</w:t>
      </w:r>
      <w:r>
        <w:t xml:space="preserve">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>
        <w:t>интернет-портала</w:t>
      </w:r>
      <w:proofErr w:type="spellEnd"/>
      <w:proofErr w:type="gramEnd"/>
      <w:r>
        <w:t xml:space="preserve"> об инвестиционной деятельности в субъекте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Информация о деятельности органо</w:t>
      </w:r>
      <w:r>
        <w:t>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На официальном сайте уполномоченного орг</w:t>
      </w:r>
      <w:r>
        <w:t xml:space="preserve">ана в сети "Интернет" и </w:t>
      </w:r>
      <w:proofErr w:type="spellStart"/>
      <w:r>
        <w:t>интернет-портале</w:t>
      </w:r>
      <w:proofErr w:type="spellEnd"/>
      <w: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</w:t>
      </w:r>
      <w:r>
        <w:t>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</w:t>
      </w:r>
      <w:r>
        <w:t>региональной программы, в рамках которой осуществляется эта деятельность.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58. </w:t>
      </w:r>
      <w:proofErr w:type="gramStart"/>
      <w:r>
        <w:t xml:space="preserve">Общественным организациям, представляющим интересы субъектов </w:t>
      </w:r>
      <w:r>
        <w:t>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</w:t>
      </w:r>
      <w:r>
        <w:t xml:space="preserve">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>
        <w:t>интернет-портале</w:t>
      </w:r>
      <w:proofErr w:type="spellEnd"/>
      <w:proofErr w:type="gramEnd"/>
      <w:r>
        <w:t>: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7C0B06" w:rsidRDefault="004E0152">
      <w:pPr>
        <w:pStyle w:val="ConsPlusNormal"/>
        <w:spacing w:before="20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</w:t>
      </w:r>
      <w:r>
        <w:t>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7C0B06" w:rsidRDefault="004E0152">
      <w:pPr>
        <w:pStyle w:val="ConsPlusNormal"/>
        <w:spacing w:before="200"/>
        <w:ind w:firstLine="540"/>
        <w:jc w:val="both"/>
      </w:pPr>
      <w:r>
        <w:t>в) вопросов и предложений, адресованных высшему должнос</w:t>
      </w:r>
      <w:r>
        <w:t>тному лицу и органам исполнительной власти субъекта Российской Федерации.</w:t>
      </w:r>
    </w:p>
    <w:p w:rsidR="007C0B06" w:rsidRDefault="004E0152">
      <w:pPr>
        <w:pStyle w:val="ConsPlusNormal"/>
        <w:spacing w:before="20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</w:t>
      </w:r>
      <w:r>
        <w:t>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7C0B06">
      <w:pPr>
        <w:pStyle w:val="ConsPlusNormal"/>
        <w:ind w:firstLine="540"/>
        <w:jc w:val="both"/>
      </w:pPr>
    </w:p>
    <w:p w:rsidR="007C0B06" w:rsidRDefault="004E0152">
      <w:pPr>
        <w:pStyle w:val="ConsPlusNormal"/>
        <w:jc w:val="right"/>
        <w:outlineLvl w:val="1"/>
      </w:pPr>
      <w:r>
        <w:t>Приложение</w:t>
      </w:r>
    </w:p>
    <w:p w:rsidR="007C0B06" w:rsidRDefault="004E0152">
      <w:pPr>
        <w:pStyle w:val="ConsPlusNormal"/>
        <w:jc w:val="right"/>
      </w:pPr>
      <w:r>
        <w:t>к стандарту разви</w:t>
      </w:r>
      <w:r>
        <w:t>тия конкуренции</w:t>
      </w:r>
    </w:p>
    <w:p w:rsidR="007C0B06" w:rsidRDefault="004E0152">
      <w:pPr>
        <w:pStyle w:val="ConsPlusNormal"/>
        <w:jc w:val="right"/>
      </w:pPr>
      <w:r>
        <w:t>в субъектах Российской Федерации</w:t>
      </w:r>
    </w:p>
    <w:p w:rsidR="007C0B06" w:rsidRDefault="007C0B06">
      <w:pPr>
        <w:pStyle w:val="ConsPlusNormal"/>
        <w:jc w:val="center"/>
      </w:pPr>
    </w:p>
    <w:p w:rsidR="007C0B06" w:rsidRDefault="004E0152">
      <w:pPr>
        <w:pStyle w:val="ConsPlusTitle"/>
        <w:jc w:val="center"/>
      </w:pPr>
      <w:bookmarkStart w:id="6" w:name="P323"/>
      <w:bookmarkEnd w:id="6"/>
      <w:r>
        <w:t>ПЕРЕЧЕНЬ</w:t>
      </w:r>
    </w:p>
    <w:p w:rsidR="007C0B06" w:rsidRDefault="004E0152">
      <w:pPr>
        <w:pStyle w:val="ConsPlusTitle"/>
        <w:jc w:val="center"/>
      </w:pPr>
      <w:r>
        <w:t>ТОВАРНЫХ РЫНКОВ ДЛЯ СОДЕЙСТВИЯ РАЗВИТИЮ КОНКУРЕНЦИИ</w:t>
      </w:r>
    </w:p>
    <w:p w:rsidR="007C0B06" w:rsidRDefault="004E0152">
      <w:pPr>
        <w:pStyle w:val="ConsPlusTitle"/>
        <w:jc w:val="center"/>
      </w:pPr>
      <w:r>
        <w:t>В СУБЪЕКТЕ РОССИЙСКОЙ ФЕДЕРАЦИИ</w:t>
      </w:r>
    </w:p>
    <w:p w:rsidR="007C0B06" w:rsidRDefault="007C0B0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4535"/>
        <w:gridCol w:w="1870"/>
      </w:tblGrid>
      <w:tr w:rsidR="007C0B06">
        <w:tc>
          <w:tcPr>
            <w:tcW w:w="5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C0B06" w:rsidRDefault="007C0B06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</w:tcPr>
          <w:p w:rsidR="007C0B06" w:rsidRDefault="004E0152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7C0B06" w:rsidRDefault="004E0152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7C0B06" w:rsidRDefault="004E0152">
            <w:pPr>
              <w:pStyle w:val="ConsPlusNormal"/>
              <w:jc w:val="center"/>
            </w:pPr>
            <w:r>
              <w:t>Минимальное значение ключевого показателя в 2022</w:t>
            </w:r>
            <w:r>
              <w:t xml:space="preserve"> году</w:t>
            </w:r>
          </w:p>
        </w:tc>
      </w:tr>
      <w:tr w:rsidR="007C0B06">
        <w:tc>
          <w:tcPr>
            <w:tcW w:w="5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</w:t>
            </w:r>
            <w:r>
              <w:t>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</w:t>
            </w:r>
            <w:r>
              <w:t>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обучающихся в частных образовательных организациях, реализующих основные профессиональные образовательные программы - образоват</w:t>
            </w:r>
            <w:r>
              <w:t>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5, но не менее 1 частной организации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5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Рынок услуг розничной торговли </w:t>
            </w:r>
            <w:r>
              <w:lastRenderedPageBreak/>
              <w:t>лекарственными препаратами, медицинскими изделиями и соп</w:t>
            </w:r>
            <w:r>
              <w:t>утствующими товарами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lastRenderedPageBreak/>
              <w:t xml:space="preserve">доля организаций частной формы собственности в сфере услуг розничной </w:t>
            </w:r>
            <w:r>
              <w:lastRenderedPageBreak/>
              <w:t>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60</w:t>
            </w:r>
          </w:p>
        </w:tc>
      </w:tr>
      <w:tr w:rsidR="007C0B06">
        <w:tc>
          <w:tcPr>
            <w:tcW w:w="5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1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психолого-педагогического сопровождения детей с ограниче</w:t>
            </w:r>
            <w:r>
              <w:t>нными возможностями здоровья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</w:t>
            </w:r>
          </w:p>
        </w:tc>
      </w:tr>
      <w:tr w:rsidR="007C0B06">
        <w:tc>
          <w:tcPr>
            <w:tcW w:w="51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7C0B06"/>
        </w:tc>
        <w:tc>
          <w:tcPr>
            <w:tcW w:w="215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7C0B06"/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</w:t>
            </w:r>
            <w:r>
              <w:t>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ритуальных услуг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</w:t>
            </w:r>
            <w:r>
              <w:t>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</w:t>
            </w:r>
            <w:r>
              <w:t>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50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</w:t>
            </w:r>
            <w:r>
              <w:t>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производства электричес</w:t>
            </w:r>
            <w:r>
              <w:t xml:space="preserve">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</w:t>
            </w:r>
            <w:r>
              <w:t>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услуг (работ) по перевозке пассажиров автомобильным транспортом</w:t>
            </w:r>
            <w:r>
              <w:t xml:space="preserve">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доля </w:t>
            </w:r>
            <w:r>
              <w:t>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40</w:t>
            </w:r>
          </w:p>
        </w:tc>
      </w:tr>
      <w:tr w:rsidR="007C0B06">
        <w:tc>
          <w:tcPr>
            <w:tcW w:w="51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у</w:t>
            </w:r>
            <w:r>
              <w:t>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7C0B06"/>
        </w:tc>
        <w:tc>
          <w:tcPr>
            <w:tcW w:w="215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7C0B06"/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доля организаций частной формы собственности в сфере оказания услуг по </w:t>
            </w:r>
            <w:r>
              <w:lastRenderedPageBreak/>
              <w:t>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98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жилищного строительства (за исключением Московского фонда реновации жи</w:t>
            </w:r>
            <w:r>
              <w:t>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</w:t>
            </w:r>
            <w:r>
              <w:t>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</w:t>
            </w:r>
            <w:r>
              <w:t>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5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на рынке племенного животново</w:t>
            </w:r>
            <w:r>
              <w:t>дства,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20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</w:t>
            </w:r>
            <w:proofErr w:type="spellStart"/>
            <w:r>
              <w:t>аквакультуры</w:t>
            </w:r>
            <w:proofErr w:type="spellEnd"/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доля организаций частной формы собственности на рынке товарной </w:t>
            </w:r>
            <w:proofErr w:type="spellStart"/>
            <w:r>
              <w:t>аквакультуры</w:t>
            </w:r>
            <w:proofErr w:type="spellEnd"/>
            <w:r>
              <w:t>, пр</w:t>
            </w:r>
            <w:r>
              <w:t>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80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90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 xml:space="preserve">доля организаций частной формы собственности </w:t>
            </w:r>
            <w:r>
              <w:t>в сфере производства кирпича,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70</w:t>
            </w:r>
          </w:p>
        </w:tc>
      </w:tr>
      <w:tr w:rsidR="007C0B06">
        <w:tc>
          <w:tcPr>
            <w:tcW w:w="5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C0B06" w:rsidRDefault="004E0152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C0B06" w:rsidRDefault="004E0152">
            <w:pPr>
              <w:pStyle w:val="ConsPlusNormal"/>
              <w:jc w:val="center"/>
            </w:pPr>
            <w:r>
              <w:t>100</w:t>
            </w:r>
          </w:p>
        </w:tc>
      </w:tr>
    </w:tbl>
    <w:p w:rsidR="007C0B06" w:rsidRDefault="007C0B06">
      <w:pPr>
        <w:pStyle w:val="ConsPlusNormal"/>
        <w:jc w:val="both"/>
      </w:pPr>
    </w:p>
    <w:p w:rsidR="007C0B06" w:rsidRDefault="007C0B06">
      <w:pPr>
        <w:pStyle w:val="ConsPlusNormal"/>
        <w:jc w:val="both"/>
      </w:pPr>
    </w:p>
    <w:p w:rsidR="007C0B06" w:rsidRDefault="007C0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B06" w:rsidRDefault="007C0B06"/>
    <w:sectPr w:rsidR="007C0B06" w:rsidSect="007C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52" w:rsidRDefault="004E0152" w:rsidP="007C0B06">
      <w:pPr>
        <w:spacing w:after="0" w:line="240" w:lineRule="auto"/>
      </w:pPr>
      <w:r>
        <w:separator/>
      </w:r>
    </w:p>
  </w:endnote>
  <w:endnote w:type="continuationSeparator" w:id="0">
    <w:p w:rsidR="004E0152" w:rsidRDefault="004E0152" w:rsidP="007C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52" w:rsidRDefault="004E0152">
      <w:pPr>
        <w:spacing w:after="0" w:line="240" w:lineRule="auto"/>
      </w:pPr>
      <w:r>
        <w:separator/>
      </w:r>
    </w:p>
  </w:footnote>
  <w:footnote w:type="continuationSeparator" w:id="0">
    <w:p w:rsidR="004E0152" w:rsidRDefault="004E0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6"/>
    <w:rsid w:val="004E0152"/>
    <w:rsid w:val="007C0B06"/>
    <w:rsid w:val="0085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C0B0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C0B0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C0B0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C0B0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C0B0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C0B0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C0B0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C0B0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C0B0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7C0B0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C0B0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7C0B0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C0B0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7C0B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C0B0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7C0B0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C0B0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C0B0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C0B06"/>
    <w:pPr>
      <w:ind w:left="720"/>
      <w:contextualSpacing/>
    </w:pPr>
  </w:style>
  <w:style w:type="paragraph" w:styleId="a4">
    <w:name w:val="No Spacing"/>
    <w:uiPriority w:val="1"/>
    <w:qFormat/>
    <w:rsid w:val="007C0B0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C0B0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C0B0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C0B0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C0B0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0B0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C0B0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C0B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C0B0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C0B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7C0B06"/>
  </w:style>
  <w:style w:type="paragraph" w:customStyle="1" w:styleId="Footer">
    <w:name w:val="Footer"/>
    <w:basedOn w:val="a"/>
    <w:link w:val="FooterChar"/>
    <w:uiPriority w:val="99"/>
    <w:unhideWhenUsed/>
    <w:rsid w:val="007C0B0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7C0B06"/>
  </w:style>
  <w:style w:type="table" w:styleId="ab">
    <w:name w:val="Table Grid"/>
    <w:basedOn w:val="a1"/>
    <w:uiPriority w:val="59"/>
    <w:rsid w:val="007C0B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C0B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C0B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C0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C0B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C0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C0B0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C0B0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C0B06"/>
    <w:rPr>
      <w:sz w:val="18"/>
    </w:rPr>
  </w:style>
  <w:style w:type="character" w:styleId="af">
    <w:name w:val="footnote reference"/>
    <w:basedOn w:val="a0"/>
    <w:uiPriority w:val="99"/>
    <w:unhideWhenUsed/>
    <w:rsid w:val="007C0B0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C0B06"/>
    <w:pPr>
      <w:spacing w:after="57"/>
    </w:pPr>
  </w:style>
  <w:style w:type="paragraph" w:styleId="21">
    <w:name w:val="toc 2"/>
    <w:basedOn w:val="a"/>
    <w:next w:val="a"/>
    <w:uiPriority w:val="39"/>
    <w:unhideWhenUsed/>
    <w:rsid w:val="007C0B0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C0B0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C0B0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C0B0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C0B0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C0B0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C0B0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C0B06"/>
    <w:pPr>
      <w:spacing w:after="57"/>
      <w:ind w:left="2268"/>
    </w:pPr>
  </w:style>
  <w:style w:type="paragraph" w:styleId="af0">
    <w:name w:val="TOC Heading"/>
    <w:uiPriority w:val="39"/>
    <w:unhideWhenUsed/>
    <w:rsid w:val="007C0B06"/>
  </w:style>
  <w:style w:type="paragraph" w:customStyle="1" w:styleId="ConsPlusNormal">
    <w:name w:val="ConsPlusNormal"/>
    <w:rsid w:val="007C0B0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0B06"/>
    <w:pPr>
      <w:widowControl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C0B06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C16CCBB8E9F724CA667CD06B4D7E17E38B8A5E2142D07C18E7A5CDA1A30343970D8A31C894C6B6FC2C47F825690486D7A53A4501EE5C11BK7H" TargetMode="External"/><Relationship Id="rId13" Type="http://schemas.openxmlformats.org/officeDocument/2006/relationships/hyperlink" Target="consultantplus://offline/ref=E92C16CCBB8E9F724CA667CD06B4D7E17F32B9A2ED172D07C18E7A5CDA1A30342B7080AF1D8E526862D7922EC710K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2C16CCBB8E9F724CA667CD06B4D7E17E30B9AAE81A2D07C18E7A5CDA1A30342B7080AF1D8E526862D7922EC710KAH" TargetMode="External"/><Relationship Id="rId12" Type="http://schemas.openxmlformats.org/officeDocument/2006/relationships/hyperlink" Target="consultantplus://offline/ref=E92C16CCBB8E9F724CA667CD06B4D7E17F32B9A2ED172D07C18E7A5CDA1A30342B7080AF1D8E526862D7922EC710KA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C16CCBB8E9F724CA667CD06B4D7E17E30B9A0EC152D07C18E7A5CDA1A30343970D8A31C894C6964C2C47F825690486D7A53A4501EE5C11B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C16CCBB8E9F724CA667CD06B4D7E17E30B9AAE3142D07C18E7A5CDA1A30342B7080AF1D8E526862D7922EC710KAH" TargetMode="External"/><Relationship Id="rId11" Type="http://schemas.openxmlformats.org/officeDocument/2006/relationships/hyperlink" Target="consultantplus://offline/ref=E92C16CCBB8E9F724CA667CD06B4D7E17F31B8A2E3152D07C18E7A5CDA1A30343970D8A31C894D6D64C2C47F825690486D7A53A4501EE5C11BK7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2C16CCBB8E9F724CA667CD06B4D7E17D39B8A4E2102D07C18E7A5CDA1A30343970D8A31C894C696FC2C47F825690486D7A53A4501EE5C11BK7H" TargetMode="External"/><Relationship Id="rId10" Type="http://schemas.openxmlformats.org/officeDocument/2006/relationships/hyperlink" Target="consultantplus://offline/ref=E92C16CCBB8E9F724CA667CD06B4D7E17F31B8A2E3152D07C18E7A5CDA1A30343970D8A1198B473C368DC523C70483496F7A51A14F11K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2C16CCBB8E9F724CA667CD06B4D7E17E38B8A5E2142D07C18E7A5CDA1A30343970D8A31C894C6C65C2C47F825690486D7A53A4501EE5C11BK7H" TargetMode="External"/><Relationship Id="rId14" Type="http://schemas.openxmlformats.org/officeDocument/2006/relationships/hyperlink" Target="consultantplus://offline/ref=E92C16CCBB8E9F724CA667CD06B4D7E17E37B5ABEB112D07C18E7A5CDA1A30343970D8A31C894C6966C2C47F825690486D7A53A4501EE5C11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12750</Words>
  <Characters>72675</Characters>
  <Application>Microsoft Office Word</Application>
  <DocSecurity>0</DocSecurity>
  <Lines>605</Lines>
  <Paragraphs>170</Paragraphs>
  <ScaleCrop>false</ScaleCrop>
  <Company>департамент экономики ЯНАО</Company>
  <LinksUpToDate>false</LinksUpToDate>
  <CharactersWithSpaces>85255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Юлия</dc:creator>
  <cp:lastModifiedBy>Admin</cp:lastModifiedBy>
  <cp:revision>2</cp:revision>
  <dcterms:created xsi:type="dcterms:W3CDTF">2019-10-28T13:25:00Z</dcterms:created>
  <dcterms:modified xsi:type="dcterms:W3CDTF">2019-10-28T13:25:00Z</dcterms:modified>
</cp:coreProperties>
</file>