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C5" w:rsidRPr="003947C5" w:rsidRDefault="003947C5" w:rsidP="003947C5">
      <w:pPr>
        <w:shd w:val="clear" w:color="auto" w:fill="FFFFFF"/>
        <w:spacing w:before="150"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bookmarkStart w:id="0" w:name="_GoBack"/>
      <w:r w:rsidRPr="003947C5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Утверждена декларация по налогу на сверхприбыль</w:t>
      </w:r>
    </w:p>
    <w:bookmarkEnd w:id="0"/>
    <w:p w:rsidR="003947C5" w:rsidRDefault="003947C5" w:rsidP="003947C5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ФНС России разработала налоговую декларацию по налогу на сверхприбыль, а также порядок ее заполнения и формат представления в электронной форме (</w:t>
      </w:r>
      <w:hyperlink r:id="rId5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приказ ФНС России от 26 сентября 2023 г. № ЕД-7-3/676@</w:t>
        </w:r>
      </w:hyperlink>
      <w:r>
        <w:rPr>
          <w:rFonts w:ascii="Arial" w:hAnsi="Arial" w:cs="Arial"/>
          <w:color w:val="333333"/>
          <w:sz w:val="23"/>
          <w:szCs w:val="23"/>
        </w:rPr>
        <w:t>). Декларация, помимо титульного листа, включает в себя разделы для указания суммы налога, подлежащей уплате, расчета суммы налога, балансовой стоимости активов и сведений о реорганизации. Титульный лист и первые два раздела обязательны для всех налогоплательщиков.</w:t>
      </w:r>
    </w:p>
    <w:p w:rsidR="003947C5" w:rsidRDefault="003947C5" w:rsidP="003947C5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Напомним, что порядок исчисления и уплаты в бюджет налога на сверхприбыль определен </w:t>
      </w:r>
      <w:hyperlink r:id="rId6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Федеральным законом от 4 августа 2023 г. № 414-ФЗ</w:t>
        </w:r>
      </w:hyperlink>
      <w:r>
        <w:rPr>
          <w:rFonts w:ascii="Arial" w:hAnsi="Arial" w:cs="Arial"/>
          <w:color w:val="333333"/>
          <w:sz w:val="23"/>
          <w:szCs w:val="23"/>
        </w:rPr>
        <w:t>, который вступает в силу с 1 января 2024 года. Налогоплательщиками признаются российские и иностранные организации, осуществляющие свою деятельность в РФ через постоянные представительства.</w:t>
      </w:r>
    </w:p>
    <w:p w:rsidR="003947C5" w:rsidRDefault="003947C5" w:rsidP="003947C5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Объектом налогообложения признается сверхприбыль, полученная налогоплательщиком, налоговая база по которому определяется как превышение средней арифметической величины прибыли за 2021 год и прибыли за 2022 год над средней арифметической величиной прибыли за 2018 год и прибыли за 2019 год. При этом можно уменьшить сумму налога на налоговый вычет. Его размер определяется как сумма обеспечительного платежа по налогу, перечисленного в федеральный бюджет за период с 1 октября по 30 ноября 2023 года включительно, и не может превышать 50% суммы налога.</w:t>
      </w:r>
    </w:p>
    <w:p w:rsidR="003947C5" w:rsidRDefault="003947C5" w:rsidP="003947C5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Сумма налога исчисляется налогоплательщиком самостоятельно и уплачивается в срок не позднее 28 января 2024 года. А сумма обеспечительного платежа по налогу со дня наступления срока его уплаты признается суммой уплаченного налога. Подать декларацию нужно не позднее 25 января 2024 года.</w:t>
      </w:r>
    </w:p>
    <w:p w:rsidR="003947C5" w:rsidRDefault="003947C5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</w:t>
      </w:r>
    </w:p>
    <w:p w:rsidR="003C7318" w:rsidRPr="003947C5" w:rsidRDefault="003947C5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47C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Помощник прокурора</w:t>
      </w:r>
    </w:p>
    <w:p w:rsidR="003947C5" w:rsidRPr="003947C5" w:rsidRDefault="003947C5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47C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Елена Шелковина</w:t>
      </w:r>
    </w:p>
    <w:sectPr w:rsidR="003947C5" w:rsidRPr="0039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C5"/>
    <w:rsid w:val="003947C5"/>
    <w:rsid w:val="003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4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407483679/" TargetMode="External"/><Relationship Id="rId5" Type="http://schemas.openxmlformats.org/officeDocument/2006/relationships/hyperlink" Target="https://www.garant.ru/hotlaw/federal/16552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2023-11-06T15:56:00Z</dcterms:created>
  <dcterms:modified xsi:type="dcterms:W3CDTF">2023-11-06T15:57:00Z</dcterms:modified>
</cp:coreProperties>
</file>