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4A6E6C" w:rsidRPr="004A6E6C" w:rsidRDefault="004A6E6C" w:rsidP="004A6E6C">
      <w:pPr>
        <w:spacing w:after="0"/>
        <w:ind w:firstLine="567"/>
        <w:jc w:val="center"/>
        <w:rPr>
          <w:b/>
        </w:rPr>
      </w:pPr>
      <w:bookmarkStart w:id="0" w:name="_GoBack"/>
      <w:r w:rsidRPr="004A6E6C">
        <w:rPr>
          <w:b/>
        </w:rPr>
        <w:t>Дополнительная защита вкладчиков</w:t>
      </w:r>
    </w:p>
    <w:bookmarkEnd w:id="0"/>
    <w:p w:rsidR="004A6E6C" w:rsidRDefault="004A6E6C" w:rsidP="004A6E6C">
      <w:pPr>
        <w:spacing w:after="0"/>
        <w:ind w:firstLine="567"/>
        <w:jc w:val="both"/>
      </w:pPr>
    </w:p>
    <w:p w:rsidR="004A6E6C" w:rsidRDefault="004A6E6C" w:rsidP="004A6E6C">
      <w:pPr>
        <w:spacing w:after="0"/>
        <w:ind w:firstLine="567"/>
        <w:jc w:val="both"/>
      </w:pPr>
      <w:r>
        <w:t>Федеральным законом от 4 ноября 2022 г. № 435-ФЗ внесены изменения в часть вторую Налогового кодекса Российской Федерации.</w:t>
      </w:r>
    </w:p>
    <w:p w:rsidR="004A6E6C" w:rsidRDefault="004A6E6C" w:rsidP="004A6E6C">
      <w:pPr>
        <w:spacing w:after="0"/>
        <w:ind w:firstLine="567"/>
        <w:jc w:val="both"/>
      </w:pPr>
      <w:proofErr w:type="gramStart"/>
      <w:r>
        <w:t>Согласно внесенным поправкам  агентство по страхованию вкладов при выполнении им функций временной администрации или полномочий конкурсного управляющего (ликвидатора) в отношении банков с отозванной лицензией обязано предоставлять в налоговый орган не позднее 1 февраля года, следующего за отчетным налоговым периодом, информацию о выплаченных процентах в отношении каждого физлица, которому производились такие выплаты.</w:t>
      </w:r>
      <w:proofErr w:type="gramEnd"/>
    </w:p>
    <w:p w:rsidR="004A6E6C" w:rsidRDefault="004A6E6C" w:rsidP="004A6E6C">
      <w:pPr>
        <w:spacing w:after="0"/>
        <w:ind w:firstLine="567"/>
        <w:jc w:val="both"/>
      </w:pPr>
      <w:r>
        <w:t xml:space="preserve">Это не касается процентов, выплаченных по вкладам, остаткам на счетах в рублях, процентная ставка по которым в течение всего налогового периода не превышает 1% годовых, и по счетам </w:t>
      </w:r>
      <w:proofErr w:type="spellStart"/>
      <w:r>
        <w:t>эскроу</w:t>
      </w:r>
      <w:proofErr w:type="spellEnd"/>
      <w:r>
        <w:t>.</w:t>
      </w:r>
    </w:p>
    <w:p w:rsidR="004A6E6C" w:rsidRDefault="004A6E6C" w:rsidP="004A6E6C">
      <w:pPr>
        <w:spacing w:after="0"/>
        <w:ind w:firstLine="567"/>
        <w:jc w:val="both"/>
      </w:pPr>
      <w:r>
        <w:t>Дата фактического получения дохода в виде процентов, перечисленных на счет вкладчика в связи с наступлением страхового случая, будет определяться как дата фактической выплаты денег.</w:t>
      </w:r>
    </w:p>
    <w:p w:rsidR="004A6E6C" w:rsidRDefault="004A6E6C" w:rsidP="004A6E6C">
      <w:pPr>
        <w:spacing w:after="0"/>
        <w:ind w:firstLine="567"/>
        <w:jc w:val="both"/>
      </w:pPr>
      <w:r>
        <w:t>Данная норма будет применяться в отношении доходов, полученных начиная с налогового периода 2023 года.</w:t>
      </w:r>
    </w:p>
    <w:p w:rsidR="008603CC" w:rsidRDefault="004A6E6C" w:rsidP="004A6E6C">
      <w:pPr>
        <w:spacing w:after="0"/>
        <w:ind w:firstLine="567"/>
        <w:jc w:val="both"/>
      </w:pPr>
      <w:r>
        <w:t>Федеральный закон вступает в силу по истечении 1 месяца со дня его официального опубликования, за исключением положений, которые будут действовать с 1 января 2023 года.</w:t>
      </w:r>
    </w:p>
    <w:p w:rsidR="00684B23" w:rsidRDefault="00684B23" w:rsidP="00684B23">
      <w:pPr>
        <w:spacing w:after="0"/>
        <w:ind w:firstLine="567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4A6E6C"/>
    <w:rsid w:val="005558FD"/>
    <w:rsid w:val="00684B23"/>
    <w:rsid w:val="00760472"/>
    <w:rsid w:val="008603CC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14</cp:revision>
  <dcterms:created xsi:type="dcterms:W3CDTF">2022-09-02T05:36:00Z</dcterms:created>
  <dcterms:modified xsi:type="dcterms:W3CDTF">2022-12-27T16:34:00Z</dcterms:modified>
</cp:coreProperties>
</file>